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12 (Supply Chain Visibility)</w:t>
      </w:r>
    </w:p>
    <w:p w:rsidR="00000000" w:rsidDel="00000000" w:rsidP="00000000" w:rsidRDefault="00000000" w:rsidRPr="00000000" w14:paraId="00000003">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spacing w:after="200" w:line="240" w:lineRule="auto"/>
        <w:ind w:left="567" w:hanging="567"/>
        <w:rPr>
          <w:color w:val="000000"/>
          <w:sz w:val="24"/>
          <w:szCs w:val="24"/>
        </w:rPr>
      </w:pPr>
      <w:r w:rsidDel="00000000" w:rsidR="00000000" w:rsidRPr="00000000">
        <w:rPr>
          <w:b w:val="1"/>
          <w:color w:val="000000"/>
          <w:sz w:val="24"/>
          <w:szCs w:val="24"/>
          <w:rtl w:val="0"/>
        </w:rPr>
        <w:t xml:space="preserve">Definitions </w:t>
        <w:br w:type="textWrapping"/>
      </w: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tabs>
                <w:tab w:val="left" w:pos="1134"/>
              </w:tabs>
              <w:spacing w:after="120" w:before="120" w:lineRule="auto"/>
              <w:ind w:left="92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"Contracts Finder"</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tabs>
                <w:tab w:val="left" w:pos="1134"/>
              </w:tabs>
              <w:spacing w:after="120" w:before="120" w:lineRule="auto"/>
              <w:ind w:left="92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7">
            <w:pPr>
              <w:keepNext w:val="1"/>
              <w:keepLines w:val="1"/>
              <w:widowControl w:val="0"/>
              <w:pBdr>
                <w:top w:space="0" w:sz="0" w:val="nil"/>
                <w:left w:space="0" w:sz="0" w:val="nil"/>
                <w:bottom w:space="0" w:sz="0" w:val="nil"/>
                <w:right w:space="0" w:sz="0" w:val="nil"/>
                <w:between w:space="0" w:sz="0" w:val="nil"/>
              </w:pBdr>
              <w:spacing w:after="20" w:before="20" w:lineRule="auto"/>
              <w:ind w:left="360" w:firstLine="566"/>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"SME"</w:t>
            </w:r>
            <w:r w:rsidDel="00000000" w:rsidR="00000000" w:rsidRPr="00000000">
              <w:rPr>
                <w:rtl w:val="0"/>
              </w:rPr>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pos="1134"/>
              </w:tabs>
              <w:spacing w:after="120" w:before="120" w:lineRule="auto"/>
              <w:ind w:left="92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134"/>
              </w:tabs>
              <w:spacing w:after="120" w:before="120" w:lineRule="auto"/>
              <w:ind w:left="92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pos="1134"/>
              </w:tabs>
              <w:spacing w:after="120" w:before="120" w:lineRule="auto"/>
              <w:ind w:left="92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tabs>
                <w:tab w:val="left" w:pos="1134"/>
              </w:tabs>
              <w:spacing w:after="120" w:before="120" w:lineRule="auto"/>
              <w:ind w:left="92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tabs>
                <w:tab w:val="left" w:pos="1134"/>
              </w:tabs>
              <w:spacing w:after="120" w:before="120" w:lineRule="auto"/>
              <w:ind w:left="92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pos="1134"/>
              </w:tabs>
              <w:spacing w:after="120" w:before="120" w:lineRule="auto"/>
              <w:ind w:left="924"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tabs>
                <w:tab w:val="left" w:pos="1134"/>
              </w:tabs>
              <w:spacing w:after="120" w:before="120" w:lineRule="auto"/>
              <w:ind w:left="924" w:firstLine="0"/>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pacing w:after="0" w:line="276"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Visibility of Sub-Contract Opportunities in the Supply Chain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0" w:line="276"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Agency shall:</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0" w:line="276" w:lineRule="auto"/>
        <w:ind w:left="1702"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2.3, advertise on Contracts Finder all Sub-Contract opportunities arising from or in connection with the provision of the Goods or Services above a minimum threshold of £25,000 that arise during the Contract Period;</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0" w:line="276" w:lineRule="auto"/>
        <w:ind w:left="1702"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0" w:line="276" w:lineRule="auto"/>
        <w:ind w:left="1702"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0" w:line="276" w:lineRule="auto"/>
        <w:ind w:left="1702"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0" w:line="276" w:lineRule="auto"/>
        <w:ind w:left="1702"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promote Contracts Finder to its suppliers and encourage those organisations to register on Contracts Finder. </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0" w:line="276"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advert referred to at Paragraph 2.1.1 of this Schedule 12 shall provide a full and detailed description of the Sub-Contract opportunity with each of the mandatory fields being completed on Contracts Finder by the Agency. </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0" w:line="276"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on the Agency set out at Paragraph 2.1 shall only apply in respect of Sub-Contract opportunities arising after the Effective Date.</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pacing w:after="0" w:line="276"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2.1, the Authority may by giving its prior Approval, agree that a Sub-Contract opportunity is not required to be advertised by the Agency on Contracts Finder.  </w:t>
        <w:br w:type="textWrapping"/>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spacing w:after="0" w:line="276"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Visibility of Supply Chain Spend</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pacing w:after="200" w:line="276" w:lineRule="auto"/>
        <w:ind w:left="99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any other management information requirements set out in the Contract, the Agency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1B">
      <w:pPr>
        <w:numPr>
          <w:ilvl w:val="0"/>
          <w:numId w:val="2"/>
        </w:numPr>
        <w:pBdr>
          <w:top w:space="0" w:sz="0" w:val="nil"/>
          <w:left w:space="0" w:sz="0" w:val="nil"/>
          <w:bottom w:space="0" w:sz="0" w:val="nil"/>
          <w:right w:space="0" w:sz="0" w:val="nil"/>
          <w:between w:space="0" w:sz="0" w:val="nil"/>
        </w:pBdr>
        <w:spacing w:after="0" w:line="36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contract revenue received directly on the Contract;</w:t>
      </w:r>
    </w:p>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spacing w:after="0" w:line="36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under the Contract (including revenues for non-SMEs/non-VCSEs); and</w:t>
      </w:r>
    </w:p>
    <w:p w:rsidR="00000000" w:rsidDel="00000000" w:rsidP="00000000" w:rsidRDefault="00000000" w:rsidRPr="00000000" w14:paraId="0000001D">
      <w:pPr>
        <w:numPr>
          <w:ilvl w:val="0"/>
          <w:numId w:val="2"/>
        </w:numPr>
        <w:pBdr>
          <w:top w:space="0" w:sz="0" w:val="nil"/>
          <w:left w:space="0" w:sz="0" w:val="nil"/>
          <w:bottom w:space="0" w:sz="0" w:val="nil"/>
          <w:right w:space="0" w:sz="0" w:val="nil"/>
          <w:between w:space="0" w:sz="0" w:val="nil"/>
        </w:pBdr>
        <w:spacing w:after="0" w:line="36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to SMEs and VCSEs.</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pacing w:after="0" w:line="276"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SME Management Information Reports shall be provided by the Agency in the correct format as required by the Supply Chain Information Report Template and any guidance issued by the Relevant Authority from time to time. The Agency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br w:type="textWrapping"/>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spacing w:after="200" w:line="276" w:lineRule="auto"/>
        <w:ind w:left="99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further agrees and acknowledges that it may not make any amendment to the Supply Chain Information Report Template without the prior Approval of the Authority.  </w:t>
      </w:r>
    </w:p>
    <w:p w:rsidR="00000000" w:rsidDel="00000000" w:rsidP="00000000" w:rsidRDefault="00000000" w:rsidRPr="00000000" w14:paraId="0000002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2">
      <w:pPr>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3">
      <w:pPr>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6.05pt;height:55.35pt" o:ole="" type="#_x0000_t75">
            <v:imagedata r:id="rId1" o:title=""/>
          </v:shape>
          <o:OLEObject DrawAspect="Icon" r:id="rId2" ObjectID="_1687787079" ProgID="Excel.Sheet.12" ShapeID="_x0000_i1025" Type="Embed"/>
        </w:pict>
      </w:r>
      <w:r w:rsidDel="00000000" w:rsidR="00000000" w:rsidRPr="00000000">
        <w:rPr>
          <w:rtl w:val="0"/>
        </w:rPr>
      </w:r>
    </w:p>
    <w:p w:rsidR="00000000" w:rsidDel="00000000" w:rsidP="00000000" w:rsidRDefault="00000000" w:rsidRPr="00000000" w14:paraId="0000002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rPr>
          <w:rFonts w:ascii="Arial" w:cs="Arial" w:eastAsia="Arial" w:hAnsi="Arial"/>
        </w:rPr>
      </w:pPr>
      <w:bookmarkStart w:colFirst="0" w:colLast="0" w:name="_heading=h.gjdgxs" w:id="0"/>
      <w:bookmarkEnd w:id="0"/>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2E">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F">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12 (Supply Chain Visibility)</w:t>
    </w:r>
  </w:p>
  <w:p w:rsidR="00000000" w:rsidDel="00000000" w:rsidP="00000000" w:rsidRDefault="00000000" w:rsidRPr="00000000" w14:paraId="0000002C">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457D7C"/>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style" w:customStyle="1">
    <w:name w:val="a) style"/>
    <w:basedOn w:val="ListParagraph"/>
    <w:qFormat w:val="1"/>
    <w:rsid w:val="00457D7C"/>
    <w:pPr>
      <w:widowControl w:val="0"/>
      <w:numPr>
        <w:ilvl w:val="3"/>
        <w:numId w:val="1"/>
      </w:numPr>
      <w:tabs>
        <w:tab w:val="num" w:pos="360"/>
        <w:tab w:val="left" w:pos="2441"/>
      </w:tabs>
      <w:autoSpaceDE w:val="0"/>
      <w:autoSpaceDN w:val="0"/>
      <w:spacing w:after="0" w:before="1" w:line="252" w:lineRule="exact"/>
      <w:ind w:left="720" w:firstLine="0"/>
      <w:contextualSpacing w:val="0"/>
    </w:pPr>
    <w:rPr>
      <w:rFonts w:ascii="Arial" w:cs="Arial" w:hAnsi="Arial"/>
      <w:sz w:val="24"/>
      <w:szCs w:val="24"/>
    </w:rPr>
  </w:style>
  <w:style w:type="table" w:styleId="4" w:customStyle="1">
    <w:name w:val="4"/>
    <w:basedOn w:val="TableNormal"/>
    <w:rsid w:val="00457D7C"/>
    <w:pPr>
      <w:spacing w:after="0" w:line="240" w:lineRule="auto"/>
    </w:pPr>
    <w:rPr>
      <w:rFonts w:ascii="Calibri" w:cs="Calibri" w:eastAsia="Calibri" w:hAnsi="Calibri"/>
      <w:sz w:val="20"/>
      <w:szCs w:val="20"/>
      <w:lang w:eastAsia="en-GB"/>
    </w:rPr>
    <w:tblPr>
      <w:tblStyleRowBandSize w:val="1"/>
      <w:tblStyleColBandSize w:val="1"/>
      <w:tblCellMar>
        <w:left w:w="0.0" w:type="dxa"/>
        <w:right w:w="0.0" w:type="dxa"/>
      </w:tblCellMar>
    </w:tblPr>
  </w:style>
  <w:style w:type="paragraph" w:styleId="ListParagraph">
    <w:name w:val="List Paragraph"/>
    <w:basedOn w:val="Normal"/>
    <w:uiPriority w:val="34"/>
    <w:qFormat w:val="1"/>
    <w:rsid w:val="00457D7C"/>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CBjwGZ94PsulbcKeeM0fXB1ypg==">AMUW2mWac4tRf+hp3VlBwIA6zhVVOHoCqLiATpNg3yACpJE+QhTOoHrEUswH4XIpZIBeOV9GAqXFunrhxnSvRn3WtFfeemvlyy23mBJhpahj/jS9fkIhmhmemP2pkd2Z/KNx5JxzWCqY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2021-07-14T15:57:00Z</dcterms:created>
  <dc:creator>Hannah Wright</dc:creator>
</cp:coreProperties>
</file>